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79" w:rsidRDefault="004D689B" w:rsidP="001579E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9C0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 w:rsidR="001579EF" w:rsidRPr="009C0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C0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decyzji znak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>RO 6220.1.8.2024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89B" w:rsidRPr="009C0479" w:rsidRDefault="009C0479" w:rsidP="001579E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 xml:space="preserve"> 08.04.2024 </w:t>
      </w:r>
      <w:r w:rsidR="001579EF" w:rsidRPr="009C0479">
        <w:rPr>
          <w:rFonts w:ascii="Times New Roman" w:hAnsi="Times New Roman" w:cs="Times New Roman"/>
          <w:b/>
          <w:sz w:val="24"/>
          <w:szCs w:val="24"/>
        </w:rPr>
        <w:t>r</w:t>
      </w:r>
      <w:r w:rsidR="001579EF" w:rsidRPr="009C0479">
        <w:rPr>
          <w:rFonts w:ascii="Times New Roman" w:hAnsi="Times New Roman" w:cs="Times New Roman"/>
          <w:sz w:val="24"/>
          <w:szCs w:val="24"/>
        </w:rPr>
        <w:t>.</w:t>
      </w:r>
      <w:r w:rsidR="001579EF" w:rsidRPr="009C0479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9EF" w:rsidRPr="009C0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B" w:rsidRPr="009C0479" w:rsidRDefault="004D689B" w:rsidP="004D68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79EF" w:rsidRPr="00D8658B" w:rsidRDefault="004D689B" w:rsidP="00D8658B">
      <w:pPr>
        <w:pStyle w:val="tc"/>
        <w:spacing w:line="360" w:lineRule="auto"/>
        <w:ind w:left="119"/>
        <w:jc w:val="both"/>
        <w:rPr>
          <w:b/>
        </w:rPr>
      </w:pPr>
      <w:r w:rsidRPr="009C0479">
        <w:rPr>
          <w:b/>
        </w:rPr>
        <w:t>Charakterystyka</w:t>
      </w:r>
      <w:r w:rsidRPr="009C0479">
        <w:rPr>
          <w:rFonts w:eastAsiaTheme="minorEastAsia"/>
          <w:b/>
          <w:color w:val="000000"/>
          <w:shd w:val="clear" w:color="auto" w:fill="FFFFFF"/>
        </w:rPr>
        <w:t xml:space="preserve"> </w:t>
      </w:r>
      <w:r w:rsidRPr="009C0479">
        <w:rPr>
          <w:b/>
          <w:shd w:val="clear" w:color="auto" w:fill="FFFFFF"/>
        </w:rPr>
        <w:t xml:space="preserve"> przedsięwzięcia</w:t>
      </w:r>
      <w:r w:rsidR="001579EF" w:rsidRPr="009C0479">
        <w:rPr>
          <w:b/>
        </w:rPr>
        <w:t xml:space="preserve"> pn. </w:t>
      </w:r>
      <w:r w:rsidR="001579EF" w:rsidRPr="009C0479">
        <w:rPr>
          <w:b/>
          <w:i/>
        </w:rPr>
        <w:t>„Prz</w:t>
      </w:r>
      <w:r w:rsidR="001579EF" w:rsidRPr="009C0479">
        <w:rPr>
          <w:b/>
          <w:i/>
        </w:rPr>
        <w:t xml:space="preserve">ebudowa </w:t>
      </w:r>
      <w:r w:rsidR="001579EF" w:rsidRPr="009C0479">
        <w:rPr>
          <w:b/>
          <w:i/>
        </w:rPr>
        <w:t>drogi gminnej nr 104064 F relacji Kolonia Moraków - przez wieś Gm. Góra św. Małgorzaty”.</w:t>
      </w:r>
    </w:p>
    <w:p w:rsidR="001579EF" w:rsidRPr="009C0479" w:rsidRDefault="00D8658B" w:rsidP="009C0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>Rodzaj, cechy, skala i usytuowanie zadania inwestycyjnego.</w:t>
      </w:r>
    </w:p>
    <w:p w:rsidR="001579EF" w:rsidRPr="009C0479" w:rsidRDefault="001579EF" w:rsidP="001579E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 xml:space="preserve">W ramach zadania zostanie rozbudowana droga gminna na docinku długości 1,416 km. Przebudowa będzie polegała na </w:t>
      </w:r>
      <w:r w:rsidRPr="009C0479">
        <w:rPr>
          <w:rFonts w:ascii="Times New Roman" w:hAnsi="Times New Roman" w:cs="Times New Roman"/>
          <w:sz w:val="24"/>
          <w:szCs w:val="24"/>
        </w:rPr>
        <w:t>:</w:t>
      </w:r>
    </w:p>
    <w:p w:rsidR="001579EF" w:rsidRPr="009C0479" w:rsidRDefault="001579EF" w:rsidP="001579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 xml:space="preserve">przebudowie jezdni do szer. 3,5 m - 4,0 m, </w:t>
      </w:r>
    </w:p>
    <w:p w:rsidR="001579EF" w:rsidRPr="009C0479" w:rsidRDefault="001579EF" w:rsidP="001579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przebudowie poboczy do szer. 0,75 m,</w:t>
      </w:r>
    </w:p>
    <w:p w:rsidR="001579EF" w:rsidRPr="009C0479" w:rsidRDefault="001579EF" w:rsidP="001579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oczyszczeniu rowów drogowych,</w:t>
      </w:r>
    </w:p>
    <w:p w:rsidR="001579EF" w:rsidRPr="009C0479" w:rsidRDefault="001579EF" w:rsidP="001579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przebudowie zjazdów zwykłych do posesji i na pola.</w:t>
      </w:r>
    </w:p>
    <w:p w:rsidR="001579EF" w:rsidRPr="009C0479" w:rsidRDefault="001579EF" w:rsidP="001579E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51">
        <w:rPr>
          <w:rFonts w:ascii="Times New Roman" w:hAnsi="Times New Roman" w:cs="Times New Roman"/>
          <w:bCs/>
          <w:sz w:val="24"/>
          <w:szCs w:val="24"/>
        </w:rPr>
        <w:t>Istniejący obiekt drogowy</w:t>
      </w:r>
      <w:r w:rsidRPr="009C0479">
        <w:rPr>
          <w:rFonts w:ascii="Times New Roman" w:hAnsi="Times New Roman" w:cs="Times New Roman"/>
          <w:sz w:val="24"/>
          <w:szCs w:val="24"/>
        </w:rPr>
        <w:t xml:space="preserve"> nie spełniający warunków technicznych dla dróg gminnych klasy </w:t>
      </w:r>
      <w:r w:rsidRPr="00AD5A51">
        <w:rPr>
          <w:rFonts w:ascii="Times New Roman" w:hAnsi="Times New Roman" w:cs="Times New Roman"/>
          <w:bCs/>
          <w:sz w:val="24"/>
          <w:szCs w:val="24"/>
        </w:rPr>
        <w:t>D</w:t>
      </w:r>
      <w:r w:rsidRPr="00AD5A51">
        <w:rPr>
          <w:rFonts w:ascii="Times New Roman" w:hAnsi="Times New Roman" w:cs="Times New Roman"/>
          <w:sz w:val="24"/>
          <w:szCs w:val="24"/>
        </w:rPr>
        <w:t xml:space="preserve"> </w:t>
      </w:r>
      <w:r w:rsidRPr="009C0479">
        <w:rPr>
          <w:rFonts w:ascii="Times New Roman" w:hAnsi="Times New Roman" w:cs="Times New Roman"/>
          <w:sz w:val="24"/>
          <w:szCs w:val="24"/>
        </w:rPr>
        <w:t xml:space="preserve">- dojazdowa. Istniejąca nawierzchnia gruntowa miejscowo ulepszona kruszywem łamanym. Pobocza ziemne zawyżone, rowy zamulone. Nośność nawierzchni niewystarczająca jak dla dróg publicznych.  Odwodnienie w postaci fragmentarycznie występujących rowów drogowych. </w:t>
      </w:r>
    </w:p>
    <w:p w:rsidR="001579EF" w:rsidRPr="009C0479" w:rsidRDefault="001579EF" w:rsidP="001579E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W stanie istniejącym elementy zagospodarowania pasa drogowego w ujęciu powierzchniowym zestawiono poniżej:</w:t>
      </w:r>
    </w:p>
    <w:p w:rsidR="001579EF" w:rsidRPr="009C0479" w:rsidRDefault="001579EF" w:rsidP="00157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jezdnia utwardzona : 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157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pobocza utwardzone : 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157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powierzchnia zielona (biologicznie czynna) : 7 100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157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zjazdy utwardzone : 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157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rowy drogowe odparowujące : 1 920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91CF4" w:rsidRDefault="001579EF" w:rsidP="001579E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479">
        <w:rPr>
          <w:rFonts w:ascii="Times New Roman" w:hAnsi="Times New Roman" w:cs="Times New Roman"/>
          <w:bCs/>
          <w:sz w:val="24"/>
          <w:szCs w:val="24"/>
        </w:rPr>
        <w:t xml:space="preserve">Droga posiada odwodnienie w postaci fragmentarycznie występujących rowów przydrożnych po stronie północnej (po stronie lewej zgodnie z narastającym kilometrażem). Długość istniejących rowów L = 960 </w:t>
      </w:r>
      <w:proofErr w:type="spellStart"/>
      <w:r w:rsidRPr="009C0479">
        <w:rPr>
          <w:rFonts w:ascii="Times New Roman" w:hAnsi="Times New Roman" w:cs="Times New Roman"/>
          <w:bCs/>
          <w:sz w:val="24"/>
          <w:szCs w:val="24"/>
        </w:rPr>
        <w:t>mb</w:t>
      </w:r>
      <w:proofErr w:type="spellEnd"/>
      <w:r w:rsidRPr="009C0479">
        <w:rPr>
          <w:rFonts w:ascii="Times New Roman" w:hAnsi="Times New Roman" w:cs="Times New Roman"/>
          <w:bCs/>
          <w:sz w:val="24"/>
          <w:szCs w:val="24"/>
        </w:rPr>
        <w:t>. Rowy trawiaste, trapezowe. Szerokość w koronie 2,0 m, szerokość dna rowu : 0,4 m, głębokość rowów : 0,7 m, nachylenie skarp : 1:1, skarpy nieutwardzone.</w:t>
      </w:r>
      <w:r w:rsidR="009C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479" w:rsidRPr="00991CF4">
        <w:rPr>
          <w:rFonts w:ascii="Times New Roman" w:hAnsi="Times New Roman" w:cs="Times New Roman"/>
          <w:sz w:val="24"/>
          <w:szCs w:val="24"/>
        </w:rPr>
        <w:t>Roboty budowlane</w:t>
      </w:r>
      <w:r w:rsidRPr="00991CF4">
        <w:rPr>
          <w:rFonts w:ascii="Times New Roman" w:hAnsi="Times New Roman" w:cs="Times New Roman"/>
          <w:sz w:val="24"/>
          <w:szCs w:val="24"/>
        </w:rPr>
        <w:t xml:space="preserve"> nie przewidują przebudowy rowów.</w:t>
      </w:r>
    </w:p>
    <w:p w:rsidR="001579EF" w:rsidRPr="009C0479" w:rsidRDefault="001579EF" w:rsidP="001579E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479">
        <w:rPr>
          <w:rFonts w:ascii="Times New Roman" w:hAnsi="Times New Roman" w:cs="Times New Roman"/>
          <w:bCs/>
          <w:sz w:val="24"/>
          <w:szCs w:val="24"/>
        </w:rPr>
        <w:t>W pasie drogowym nie występują urządzenia, które byłyby związane z droga np. urządzenia b</w:t>
      </w:r>
      <w:r w:rsidRPr="009C0479">
        <w:rPr>
          <w:rFonts w:ascii="Times New Roman" w:hAnsi="Times New Roman" w:cs="Times New Roman"/>
          <w:bCs/>
          <w:sz w:val="24"/>
          <w:szCs w:val="24"/>
        </w:rPr>
        <w:t>ezpieczeństwa ruchu drogowego.</w:t>
      </w:r>
    </w:p>
    <w:p w:rsidR="001579EF" w:rsidRPr="005332D4" w:rsidRDefault="001579EF" w:rsidP="0015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2D4">
        <w:rPr>
          <w:rFonts w:ascii="Times New Roman" w:hAnsi="Times New Roman" w:cs="Times New Roman"/>
          <w:sz w:val="24"/>
          <w:szCs w:val="24"/>
        </w:rPr>
        <w:t xml:space="preserve">     </w:t>
      </w:r>
      <w:r w:rsidRPr="005332D4">
        <w:rPr>
          <w:rFonts w:ascii="Times New Roman" w:hAnsi="Times New Roman" w:cs="Times New Roman"/>
          <w:sz w:val="24"/>
          <w:szCs w:val="24"/>
        </w:rPr>
        <w:t xml:space="preserve">Całość inwestycji kwalifikuje się z punktu widzenia prawa budowlanego </w:t>
      </w:r>
      <w:r w:rsidRPr="005332D4">
        <w:rPr>
          <w:rFonts w:ascii="Times New Roman" w:hAnsi="Times New Roman" w:cs="Times New Roman"/>
          <w:sz w:val="24"/>
          <w:szCs w:val="24"/>
        </w:rPr>
        <w:t xml:space="preserve"> </w:t>
      </w:r>
      <w:r w:rsidRPr="005332D4">
        <w:rPr>
          <w:rFonts w:ascii="Times New Roman" w:hAnsi="Times New Roman" w:cs="Times New Roman"/>
          <w:sz w:val="24"/>
          <w:szCs w:val="24"/>
        </w:rPr>
        <w:t xml:space="preserve">do przebudowy. </w:t>
      </w:r>
    </w:p>
    <w:p w:rsidR="001579EF" w:rsidRPr="009C0479" w:rsidRDefault="001579EF" w:rsidP="001579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04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1579EF" w:rsidRPr="009C0479" w:rsidRDefault="001579EF" w:rsidP="0015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 xml:space="preserve">Przedsięwzięcie zlokalizowane jest na działkach ew. nr : </w:t>
      </w:r>
    </w:p>
    <w:p w:rsidR="001579EF" w:rsidRPr="00AD5A51" w:rsidRDefault="001579EF" w:rsidP="0097168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5A51">
        <w:rPr>
          <w:rFonts w:ascii="Times New Roman" w:hAnsi="Times New Roman" w:cs="Times New Roman"/>
          <w:sz w:val="24"/>
          <w:szCs w:val="24"/>
        </w:rPr>
        <w:t xml:space="preserve">dz. nr ew. : </w:t>
      </w:r>
      <w:r w:rsidRPr="00AD5A51">
        <w:rPr>
          <w:rFonts w:ascii="Times New Roman" w:hAnsi="Times New Roman" w:cs="Times New Roman"/>
          <w:bCs/>
          <w:sz w:val="24"/>
          <w:szCs w:val="24"/>
        </w:rPr>
        <w:t>28, 29, 61</w:t>
      </w:r>
      <w:r w:rsidRPr="00AD5A51">
        <w:rPr>
          <w:rFonts w:ascii="Times New Roman" w:hAnsi="Times New Roman" w:cs="Times New Roman"/>
          <w:sz w:val="24"/>
          <w:szCs w:val="24"/>
        </w:rPr>
        <w:t xml:space="preserve"> - obręb geodezyjny : 0010, </w:t>
      </w:r>
      <w:r w:rsidRPr="00AD5A51">
        <w:rPr>
          <w:rFonts w:ascii="Times New Roman" w:hAnsi="Times New Roman" w:cs="Times New Roman"/>
          <w:bCs/>
          <w:sz w:val="24"/>
          <w:szCs w:val="24"/>
        </w:rPr>
        <w:t>Kolonia Moraków</w:t>
      </w:r>
      <w:r w:rsidRPr="00AD5A51">
        <w:rPr>
          <w:rFonts w:ascii="Times New Roman" w:hAnsi="Times New Roman" w:cs="Times New Roman"/>
          <w:sz w:val="24"/>
          <w:szCs w:val="24"/>
        </w:rPr>
        <w:t>.</w:t>
      </w:r>
      <w:r w:rsidR="00971681" w:rsidRPr="00AD5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681" w:rsidRPr="00AD5A51" w:rsidRDefault="00971681" w:rsidP="00971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9EF" w:rsidRPr="009C0479" w:rsidRDefault="001579EF" w:rsidP="00157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Średniodobowy ruch roczny : 85 poj./dobę. Planowany ruchu w 10 roku po przebudowie : 18</w:t>
      </w:r>
      <w:r w:rsidRPr="009C0479">
        <w:rPr>
          <w:rFonts w:ascii="Times New Roman" w:hAnsi="Times New Roman" w:cs="Times New Roman"/>
          <w:sz w:val="24"/>
          <w:szCs w:val="24"/>
        </w:rPr>
        <w:t>0 poj./dobę.</w:t>
      </w:r>
    </w:p>
    <w:p w:rsidR="001579EF" w:rsidRPr="00D8658B" w:rsidRDefault="001579EF" w:rsidP="00971681">
      <w:pPr>
        <w:spacing w:line="360" w:lineRule="auto"/>
        <w:jc w:val="both"/>
      </w:pPr>
      <w:r w:rsidRPr="009C0479">
        <w:rPr>
          <w:rFonts w:ascii="Times New Roman" w:hAnsi="Times New Roman" w:cs="Times New Roman"/>
          <w:sz w:val="24"/>
          <w:szCs w:val="24"/>
        </w:rPr>
        <w:t>Stan projektowany: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Pr="009C0479">
        <w:rPr>
          <w:rFonts w:ascii="Times New Roman" w:hAnsi="Times New Roman" w:cs="Times New Roman"/>
          <w:sz w:val="24"/>
          <w:szCs w:val="24"/>
        </w:rPr>
        <w:t xml:space="preserve">budowa nawierzchni drogi gminnej o szer. 3,5 m, - 4,0 m, poboczy </w:t>
      </w:r>
      <w:r w:rsidRPr="009C0479">
        <w:rPr>
          <w:rFonts w:ascii="Times New Roman" w:hAnsi="Times New Roman" w:cs="Times New Roman"/>
          <w:sz w:val="24"/>
          <w:szCs w:val="24"/>
        </w:rPr>
        <w:br/>
        <w:t>z kruszyw szer. 0,75 m, zjazdów do pól z kruszyw, zjazdów utwardzonych  do posesji,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Pr="009C0479">
        <w:t>montaż oznakowania pionowego i poziomego</w:t>
      </w:r>
      <w:r w:rsidR="00D8658B">
        <w:t xml:space="preserve">.    </w:t>
      </w:r>
      <w:r w:rsidRPr="009C0479">
        <w:rPr>
          <w:rFonts w:ascii="Times New Roman" w:hAnsi="Times New Roman" w:cs="Times New Roman"/>
          <w:sz w:val="24"/>
          <w:szCs w:val="24"/>
        </w:rPr>
        <w:t>Powierzchnia elementów zagospodarowania pasa drogowego jak poniże</w:t>
      </w:r>
      <w:r w:rsidR="009C0479" w:rsidRPr="009C0479">
        <w:rPr>
          <w:rFonts w:ascii="Times New Roman" w:hAnsi="Times New Roman" w:cs="Times New Roman"/>
          <w:sz w:val="24"/>
          <w:szCs w:val="24"/>
        </w:rPr>
        <w:t>j:</w:t>
      </w:r>
    </w:p>
    <w:p w:rsidR="001579EF" w:rsidRPr="009C0479" w:rsidRDefault="001579EF" w:rsidP="00971681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jezdnia bitumiczna : 5 231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97168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pobocza z kruszyw i zjazdy do pól : 2 364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97168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powierzchni zielona (biologicznie czynna) : 1 799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97168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zjazdy utwardzone (zmiennej szerokości) : 70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1579EF" w:rsidRPr="009C0479" w:rsidRDefault="001579EF" w:rsidP="0097168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rowy drogowe odparowujące : 1 920 m</w:t>
      </w:r>
      <w:r w:rsidRPr="009C04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479">
        <w:rPr>
          <w:rFonts w:ascii="Times New Roman" w:hAnsi="Times New Roman" w:cs="Times New Roman"/>
          <w:sz w:val="24"/>
          <w:szCs w:val="24"/>
        </w:rPr>
        <w:t>,</w:t>
      </w:r>
    </w:p>
    <w:p w:rsidR="00D8658B" w:rsidRDefault="001579EF" w:rsidP="009C0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Grunty uzyskane z wykopów przeznacza się do wbudowania w dolne warstwy nasypu. Nadmiar zostanie wywieziony w miejsce wskazane przez Inwestora i w dłuższym okresie czasu podlegnie rekultywacji.</w:t>
      </w:r>
    </w:p>
    <w:p w:rsidR="00971681" w:rsidRPr="00D8658B" w:rsidRDefault="005332D4" w:rsidP="00D86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>W trakcie realizacji przedsięwzięcia nie przewiduje się wydzielania składowisk na magazynowanie materiału. Projekt przewiduje wbudowywanie materiału bezpośrednio z środków transportu. Roboty budowlane będą prowadzone w sposób jak najmniej oddziałujący na mieszkańców i otoczenie.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>Roboty budowlane przewidziane do realizacji w roku 2024. Inwestor nie planuje realizować przedsięwzięcia przy pomocy środków UE.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>Inwestor planuje roboty budowlane w jednym etapie. Termin prowadzenia robót : I kwartał 2024 r. – II kwartał 2024 r. Wymagany czas na realizację przedsięwzięcia przy sprawnej organizacji robót to 2 miesiące</w:t>
      </w:r>
      <w:r w:rsidR="009C0479" w:rsidRPr="009C0479">
        <w:rPr>
          <w:rFonts w:ascii="Times New Roman" w:hAnsi="Times New Roman" w:cs="Times New Roman"/>
          <w:sz w:val="24"/>
          <w:szCs w:val="24"/>
        </w:rPr>
        <w:t>.</w:t>
      </w:r>
    </w:p>
    <w:p w:rsidR="001579EF" w:rsidRPr="00971681" w:rsidRDefault="00971681" w:rsidP="009C0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="009C0479" w:rsidRPr="00971681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71681">
        <w:rPr>
          <w:rFonts w:ascii="Times New Roman" w:hAnsi="Times New Roman" w:cs="Times New Roman"/>
          <w:sz w:val="24"/>
          <w:szCs w:val="24"/>
        </w:rPr>
        <w:t>Powierzchnia zajmowanej nieruchomości, obiektu budowlanego, sposób wykorzystywania i pokrycia szatą roślinną.</w:t>
      </w:r>
    </w:p>
    <w:p w:rsidR="001579EF" w:rsidRPr="009C0479" w:rsidRDefault="001579EF" w:rsidP="00157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 xml:space="preserve">Inwestycja zlokalizowana będzie na powierzchni około </w:t>
      </w:r>
      <w:r w:rsidRPr="00971681">
        <w:rPr>
          <w:rFonts w:ascii="Times New Roman" w:hAnsi="Times New Roman" w:cs="Times New Roman"/>
          <w:sz w:val="24"/>
          <w:szCs w:val="24"/>
        </w:rPr>
        <w:t>1,5 ha</w:t>
      </w:r>
      <w:r w:rsidRPr="009C0479">
        <w:rPr>
          <w:rFonts w:ascii="Times New Roman" w:hAnsi="Times New Roman" w:cs="Times New Roman"/>
          <w:sz w:val="24"/>
          <w:szCs w:val="24"/>
        </w:rPr>
        <w:t>. Istniejący pas drogowy posiada zróżnicowaną szerokość : 6 m - 7</w:t>
      </w:r>
      <w:r w:rsidR="00971681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D8658B" w:rsidRDefault="00D8658B" w:rsidP="009C0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Pr="0097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9C0479">
        <w:rPr>
          <w:rFonts w:ascii="Times New Roman" w:hAnsi="Times New Roman" w:cs="Times New Roman"/>
          <w:sz w:val="24"/>
          <w:szCs w:val="24"/>
        </w:rPr>
        <w:t xml:space="preserve">Pokrycie szatą roślinną szczątkowe. </w:t>
      </w:r>
      <w:r w:rsidR="001579EF" w:rsidRPr="00971681">
        <w:rPr>
          <w:rFonts w:ascii="Times New Roman" w:hAnsi="Times New Roman" w:cs="Times New Roman"/>
          <w:bCs/>
          <w:sz w:val="24"/>
          <w:szCs w:val="24"/>
        </w:rPr>
        <w:t>Nie planuje się wycinki drzew</w:t>
      </w:r>
      <w:r w:rsidR="001579EF" w:rsidRPr="00971681">
        <w:rPr>
          <w:rFonts w:ascii="Times New Roman" w:hAnsi="Times New Roman" w:cs="Times New Roman"/>
          <w:sz w:val="24"/>
          <w:szCs w:val="24"/>
        </w:rPr>
        <w:t xml:space="preserve">. </w:t>
      </w:r>
      <w:r w:rsidR="001579EF" w:rsidRPr="00971681">
        <w:rPr>
          <w:rFonts w:ascii="Times New Roman" w:hAnsi="Times New Roman" w:cs="Times New Roman"/>
          <w:bCs/>
          <w:sz w:val="24"/>
          <w:szCs w:val="24"/>
        </w:rPr>
        <w:t>Nie zachodzi konieczność wycinki krzewów.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B" w:rsidRPr="009C0479" w:rsidRDefault="004D689B" w:rsidP="004D689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0479">
        <w:rPr>
          <w:rFonts w:ascii="Times New Roman" w:hAnsi="Times New Roman" w:cs="Times New Roman"/>
          <w:sz w:val="24"/>
          <w:szCs w:val="24"/>
        </w:rPr>
        <w:lastRenderedPageBreak/>
        <w:t>▪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 Z karty infor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m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acyjnej nie wynika, by przedsięwzięcie powiązane było z innym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 xml:space="preserve">i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r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e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dsięwzięciami i istni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a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ło obecnie ryzyko kumulowania się oddziaływań przedsięwzięć re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a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lizowanych i zreal</w:t>
      </w:r>
      <w:r w:rsidRPr="009C0479">
        <w:rPr>
          <w:rFonts w:ascii="Times New Roman" w:hAnsi="Times New Roman" w:cs="Times New Roman"/>
          <w:color w:val="575758"/>
          <w:sz w:val="24"/>
          <w:szCs w:val="24"/>
          <w:lang w:eastAsia="pl-PL"/>
        </w:rPr>
        <w:t>i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zow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a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nych, dla których została wydana decyzja o środowiskowych u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w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arunkowaniach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 xml:space="preserve">,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znajdujących się na terenie, na którym planuje się realizację przedsięwzięcia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 xml:space="preserve">,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or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a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z w obszarze oddział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y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wania pr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z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edsięwzięcia lub których oddziaływania mieszczą się w obszarze oddziaływania planow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a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nego pr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z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edsięwzięcia w zakresie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 xml:space="preserve">,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w jakim ich oddziaływania mogą p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r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w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ad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z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ić do 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s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kumulowania oddział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y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wań 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 xml:space="preserve">z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planowanym przedsięwzięciem. Jednak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ż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 pr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z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ed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s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ięwzięcie ze wzgl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ę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du na swój charakter powiązane jest z istniejącą siecią dróg</w:t>
      </w:r>
      <w:r w:rsidRPr="009C0479">
        <w:rPr>
          <w:rFonts w:ascii="Times New Roman" w:hAnsi="Times New Roman" w:cs="Times New Roman"/>
          <w:color w:val="201F21"/>
          <w:sz w:val="24"/>
          <w:szCs w:val="24"/>
          <w:lang w:eastAsia="pl-PL"/>
        </w:rPr>
        <w:t>.</w:t>
      </w:r>
    </w:p>
    <w:p w:rsidR="004D689B" w:rsidRPr="009C0479" w:rsidRDefault="004D689B" w:rsidP="004D6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C0479">
        <w:rPr>
          <w:rFonts w:ascii="Times New Roman" w:hAnsi="Times New Roman" w:cs="Times New Roman"/>
          <w:sz w:val="24"/>
          <w:szCs w:val="24"/>
        </w:rPr>
        <w:t xml:space="preserve">Planowane do </w:t>
      </w:r>
      <w:r w:rsidRPr="009C0479">
        <w:rPr>
          <w:rFonts w:ascii="Times New Roman" w:hAnsi="Times New Roman" w:cs="Times New Roman"/>
          <w:color w:val="282729"/>
          <w:sz w:val="24"/>
          <w:szCs w:val="24"/>
        </w:rPr>
        <w:t>r</w:t>
      </w:r>
      <w:r w:rsidRPr="009C0479">
        <w:rPr>
          <w:rFonts w:ascii="Times New Roman" w:hAnsi="Times New Roman" w:cs="Times New Roman"/>
          <w:sz w:val="24"/>
          <w:szCs w:val="24"/>
        </w:rPr>
        <w:t>ea</w:t>
      </w:r>
      <w:r w:rsidRPr="009C0479">
        <w:rPr>
          <w:rFonts w:ascii="Times New Roman" w:hAnsi="Times New Roman" w:cs="Times New Roman"/>
          <w:color w:val="000001"/>
          <w:sz w:val="24"/>
          <w:szCs w:val="24"/>
        </w:rPr>
        <w:t>l</w:t>
      </w:r>
      <w:r w:rsidRPr="009C0479">
        <w:rPr>
          <w:rFonts w:ascii="Times New Roman" w:hAnsi="Times New Roman" w:cs="Times New Roman"/>
          <w:sz w:val="24"/>
          <w:szCs w:val="24"/>
        </w:rPr>
        <w:t>izacji przedsięwzięc</w:t>
      </w:r>
      <w:r w:rsidRPr="009C0479">
        <w:rPr>
          <w:rFonts w:ascii="Times New Roman" w:hAnsi="Times New Roman" w:cs="Times New Roman"/>
          <w:color w:val="000001"/>
          <w:sz w:val="24"/>
          <w:szCs w:val="24"/>
        </w:rPr>
        <w:t>i</w:t>
      </w:r>
      <w:r w:rsidRPr="009C0479">
        <w:rPr>
          <w:rFonts w:ascii="Times New Roman" w:hAnsi="Times New Roman" w:cs="Times New Roman"/>
          <w:sz w:val="24"/>
          <w:szCs w:val="24"/>
        </w:rPr>
        <w:t>e znajduje się poza formami ochrony przyrody, o których mowa w ustawie z dnia 16 kwietnia 2004 r. o ochronie przyrody (Dz</w:t>
      </w:r>
      <w:r w:rsidRPr="009C0479">
        <w:rPr>
          <w:rFonts w:ascii="Times New Roman" w:hAnsi="Times New Roman" w:cs="Times New Roman"/>
          <w:color w:val="3C3B3D"/>
          <w:sz w:val="24"/>
          <w:szCs w:val="24"/>
        </w:rPr>
        <w:t xml:space="preserve">. </w:t>
      </w:r>
      <w:r w:rsidRPr="009C0479">
        <w:rPr>
          <w:rFonts w:ascii="Times New Roman" w:hAnsi="Times New Roman" w:cs="Times New Roman"/>
          <w:sz w:val="24"/>
          <w:szCs w:val="24"/>
        </w:rPr>
        <w:t xml:space="preserve">U. z </w:t>
      </w:r>
      <w:r w:rsidR="00971681">
        <w:rPr>
          <w:rFonts w:ascii="Times New Roman" w:hAnsi="Times New Roman" w:cs="Times New Roman"/>
          <w:sz w:val="24"/>
          <w:szCs w:val="24"/>
        </w:rPr>
        <w:t>2023</w:t>
      </w:r>
      <w:r w:rsidRPr="009C0479">
        <w:rPr>
          <w:rFonts w:ascii="Times New Roman" w:hAnsi="Times New Roman" w:cs="Times New Roman"/>
          <w:sz w:val="24"/>
          <w:szCs w:val="24"/>
        </w:rPr>
        <w:t xml:space="preserve"> r.</w:t>
      </w:r>
      <w:r w:rsidRPr="009C0479">
        <w:rPr>
          <w:rFonts w:ascii="Times New Roman" w:hAnsi="Times New Roman" w:cs="Times New Roman"/>
          <w:color w:val="282729"/>
          <w:sz w:val="24"/>
          <w:szCs w:val="24"/>
        </w:rPr>
        <w:t xml:space="preserve">, </w:t>
      </w:r>
      <w:r w:rsidR="00971681">
        <w:rPr>
          <w:rFonts w:ascii="Times New Roman" w:hAnsi="Times New Roman" w:cs="Times New Roman"/>
          <w:sz w:val="24"/>
          <w:szCs w:val="24"/>
        </w:rPr>
        <w:t>poz. 1336</w:t>
      </w:r>
      <w:r w:rsidRPr="009C0479">
        <w:rPr>
          <w:rFonts w:ascii="Times New Roman" w:hAnsi="Times New Roman" w:cs="Times New Roman"/>
          <w:sz w:val="24"/>
          <w:szCs w:val="24"/>
        </w:rPr>
        <w:t xml:space="preserve"> ze zm.)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. P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>r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zedsięwzięcie z uwag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i 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na rodzaj, charakterystykę i niewielką skalę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, 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br/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nie będzie miało znacząco negatywnego oddziaływania na cele ochrony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, 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przedmioty ochrony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, 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br/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 xml:space="preserve">integralność obszarów i spójność sieci obszarów Natura 2000 oraz pozostałych form ochrony 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br/>
        <w:t>przyrody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. 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W karcie in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>f</w:t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>ormacyjnej przedsięwzięcia wskazano rozwiązania chroniące środowisko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t xml:space="preserve">, </w:t>
      </w:r>
      <w:r w:rsidRPr="009C0479">
        <w:rPr>
          <w:rFonts w:ascii="Times New Roman" w:hAnsi="Times New Roman" w:cs="Times New Roman"/>
          <w:color w:val="1D1D1F"/>
          <w:sz w:val="24"/>
          <w:szCs w:val="24"/>
        </w:rPr>
        <w:br/>
      </w:r>
      <w:r w:rsidRPr="009C0479">
        <w:rPr>
          <w:rFonts w:ascii="Times New Roman" w:hAnsi="Times New Roman" w:cs="Times New Roman"/>
          <w:color w:val="030204"/>
          <w:sz w:val="24"/>
          <w:szCs w:val="24"/>
        </w:rPr>
        <w:t xml:space="preserve">których zastosowanie zminimalizuje potencjalne oddziaływanie na środowisko przyrodnicze. </w:t>
      </w:r>
    </w:p>
    <w:p w:rsidR="004D689B" w:rsidRPr="009C0479" w:rsidRDefault="004D689B" w:rsidP="004D689B">
      <w:pPr>
        <w:spacing w:line="360" w:lineRule="auto"/>
        <w:rPr>
          <w:rFonts w:ascii="Times New Roman" w:hAnsi="Times New Roman" w:cs="Times New Roman"/>
          <w:color w:val="39393A"/>
          <w:sz w:val="24"/>
          <w:szCs w:val="24"/>
          <w:lang w:bidi="he-IL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Pr="009C0479">
        <w:rPr>
          <w:rFonts w:ascii="Times New Roman" w:eastAsia="TimesNewRomanPSMT" w:hAnsi="Times New Roman" w:cs="Times New Roman"/>
          <w:sz w:val="24"/>
          <w:szCs w:val="24"/>
        </w:rPr>
        <w:t xml:space="preserve">  Planowane przedsięwzięcie nie wpłynie negatywnie na </w:t>
      </w:r>
      <w:r w:rsidR="009716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71681">
        <w:rPr>
          <w:rFonts w:ascii="Times New Roman" w:eastAsia="TimesNewRomanPSMT" w:hAnsi="Times New Roman" w:cs="Times New Roman"/>
          <w:sz w:val="24"/>
          <w:szCs w:val="24"/>
        </w:rPr>
        <w:t>JCWPd</w:t>
      </w:r>
      <w:proofErr w:type="spellEnd"/>
      <w:r w:rsidR="00971681">
        <w:rPr>
          <w:rFonts w:ascii="Times New Roman" w:eastAsia="TimesNewRomanPSMT" w:hAnsi="Times New Roman" w:cs="Times New Roman"/>
          <w:sz w:val="24"/>
          <w:szCs w:val="24"/>
        </w:rPr>
        <w:t xml:space="preserve"> i JCWP </w:t>
      </w:r>
      <w:r w:rsidRPr="009C0479">
        <w:rPr>
          <w:rFonts w:ascii="Times New Roman" w:eastAsia="TimesNewRomanPSMT" w:hAnsi="Times New Roman" w:cs="Times New Roman"/>
          <w:sz w:val="24"/>
          <w:szCs w:val="24"/>
        </w:rPr>
        <w:t>w których obszarze się znajduje.</w:t>
      </w:r>
      <w:r w:rsidRPr="009C0479">
        <w:rPr>
          <w:rFonts w:ascii="Times New Roman" w:hAnsi="Times New Roman" w:cs="Times New Roman"/>
          <w:color w:val="39393A"/>
          <w:sz w:val="24"/>
          <w:szCs w:val="24"/>
          <w:lang w:bidi="he-IL"/>
        </w:rPr>
        <w:t xml:space="preserve"> </w:t>
      </w:r>
    </w:p>
    <w:p w:rsidR="004D689B" w:rsidRPr="009C0479" w:rsidRDefault="004D689B" w:rsidP="004D689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Pr="009C047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Przedsięwzięc</w:t>
      </w:r>
      <w:r w:rsidRPr="009C0479">
        <w:rPr>
          <w:rFonts w:ascii="Times New Roman" w:hAnsi="Times New Roman" w:cs="Times New Roman"/>
          <w:color w:val="000001"/>
          <w:sz w:val="24"/>
          <w:szCs w:val="24"/>
          <w:lang w:eastAsia="pl-PL"/>
        </w:rPr>
        <w:t>i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 nie jest  realizowane  na obszarach wodno-błotnych i innych obszarach o płytkim za</w:t>
      </w:r>
      <w:r w:rsidRPr="009C0479">
        <w:rPr>
          <w:rFonts w:ascii="Times New Roman" w:hAnsi="Times New Roman" w:cs="Times New Roman"/>
          <w:color w:val="000001"/>
          <w:sz w:val="24"/>
          <w:szCs w:val="24"/>
          <w:lang w:eastAsia="pl-PL"/>
        </w:rPr>
        <w:t>l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eganiu wód p</w:t>
      </w:r>
      <w:r w:rsidRPr="009C0479">
        <w:rPr>
          <w:rFonts w:ascii="Times New Roman" w:hAnsi="Times New Roman" w:cs="Times New Roman"/>
          <w:color w:val="000001"/>
          <w:sz w:val="24"/>
          <w:szCs w:val="24"/>
          <w:lang w:eastAsia="pl-PL"/>
        </w:rPr>
        <w:t>o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dziemnych. </w:t>
      </w:r>
    </w:p>
    <w:p w:rsidR="004D689B" w:rsidRDefault="004D689B" w:rsidP="004D689B">
      <w:pPr>
        <w:spacing w:line="360" w:lineRule="auto"/>
        <w:rPr>
          <w:rFonts w:ascii="Times New Roman" w:hAnsi="Times New Roman" w:cs="Times New Roman"/>
          <w:color w:val="000001"/>
          <w:sz w:val="24"/>
          <w:szCs w:val="24"/>
          <w:lang w:eastAsia="pl-PL"/>
        </w:rPr>
      </w:pPr>
      <w:r w:rsidRPr="009C0479">
        <w:rPr>
          <w:rFonts w:ascii="Times New Roman" w:hAnsi="Times New Roman" w:cs="Times New Roman"/>
          <w:sz w:val="24"/>
          <w:szCs w:val="24"/>
        </w:rPr>
        <w:t xml:space="preserve">▪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 xml:space="preserve">Z karty informacyjnej nie wynika, by na terenie przedsięwzięcia występowały siedliska łęgowe.  </w:t>
      </w:r>
      <w:r w:rsidRPr="009C0479">
        <w:rPr>
          <w:rFonts w:ascii="Times New Roman" w:hAnsi="Times New Roman" w:cs="Times New Roman"/>
          <w:sz w:val="24"/>
          <w:szCs w:val="24"/>
        </w:rPr>
        <w:t xml:space="preserve">▪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Przedsięwzięcie położone  jes</w:t>
      </w:r>
      <w:r w:rsidRPr="009C0479">
        <w:rPr>
          <w:rFonts w:ascii="Times New Roman" w:hAnsi="Times New Roman" w:cs="Times New Roman"/>
          <w:color w:val="282729"/>
          <w:sz w:val="24"/>
          <w:szCs w:val="24"/>
          <w:lang w:eastAsia="pl-PL"/>
        </w:rPr>
        <w:t xml:space="preserve">t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poza ujściami rzek, obszarami wybrzeża i środowiskiem morskim</w:t>
      </w:r>
      <w:r w:rsidRPr="009C0479">
        <w:rPr>
          <w:rFonts w:ascii="Times New Roman" w:hAnsi="Times New Roman" w:cs="Times New Roman"/>
          <w:color w:val="282729"/>
          <w:sz w:val="24"/>
          <w:szCs w:val="24"/>
          <w:lang w:eastAsia="pl-PL"/>
        </w:rPr>
        <w:t xml:space="preserve">, 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a także poza obszarami  górskimi i leśnymi. Z treści karty informacyjnej nie wynika, by w rejonie przedsięwzięcia  występowały strefy ochronne ujęć wód powierzchniowych i podziemnych czy obszary ochronne  zbiorników wód śródlą</w:t>
      </w:r>
      <w:r w:rsidRPr="009C0479">
        <w:rPr>
          <w:rFonts w:ascii="Times New Roman" w:hAnsi="Times New Roman" w:cs="Times New Roman"/>
          <w:color w:val="282729"/>
          <w:sz w:val="24"/>
          <w:szCs w:val="24"/>
          <w:lang w:eastAsia="pl-PL"/>
        </w:rPr>
        <w:t>d</w:t>
      </w:r>
      <w:r w:rsidRPr="009C0479">
        <w:rPr>
          <w:rFonts w:ascii="Times New Roman" w:hAnsi="Times New Roman" w:cs="Times New Roman"/>
          <w:sz w:val="24"/>
          <w:szCs w:val="24"/>
          <w:lang w:eastAsia="pl-PL"/>
        </w:rPr>
        <w:t>owych</w:t>
      </w:r>
      <w:r w:rsidRPr="009C0479">
        <w:rPr>
          <w:rFonts w:ascii="Times New Roman" w:hAnsi="Times New Roman" w:cs="Times New Roman"/>
          <w:color w:val="000001"/>
          <w:sz w:val="24"/>
          <w:szCs w:val="24"/>
          <w:lang w:eastAsia="pl-PL"/>
        </w:rPr>
        <w:t xml:space="preserve">. </w:t>
      </w:r>
    </w:p>
    <w:p w:rsidR="00971681" w:rsidRPr="0030502C" w:rsidRDefault="0030502C" w:rsidP="0030502C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0502C">
        <w:rPr>
          <w:rFonts w:ascii="Times New Roman" w:hAnsi="Times New Roman" w:cs="Times New Roman"/>
          <w:sz w:val="24"/>
          <w:szCs w:val="24"/>
        </w:rPr>
        <w:t>▪</w:t>
      </w:r>
      <w:r w:rsidR="00971681" w:rsidRPr="0030502C">
        <w:rPr>
          <w:rFonts w:ascii="Times New Roman" w:hAnsi="Times New Roman" w:cs="Times New Roman"/>
          <w:bCs/>
          <w:iCs/>
          <w:sz w:val="24"/>
          <w:szCs w:val="24"/>
        </w:rPr>
        <w:t xml:space="preserve"> W zakresie ochrony przed hałasem </w:t>
      </w:r>
      <w:r w:rsidR="005332D4">
        <w:rPr>
          <w:rFonts w:ascii="Times New Roman" w:hAnsi="Times New Roman" w:cs="Times New Roman"/>
          <w:iCs/>
          <w:sz w:val="24"/>
          <w:szCs w:val="24"/>
        </w:rPr>
        <w:t>s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tosowany b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dzie sprz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t w dobrym stanie technicznym zgodnie z wymogami okre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ś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lonymi w Rozporz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dzeniu Ministra Gospoda</w:t>
      </w:r>
      <w:r>
        <w:rPr>
          <w:rFonts w:ascii="Times New Roman" w:hAnsi="Times New Roman" w:cs="Times New Roman"/>
          <w:iCs/>
          <w:sz w:val="24"/>
          <w:szCs w:val="24"/>
        </w:rPr>
        <w:t xml:space="preserve">rki z dnia 21 grudnia 2005 r., 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w sprawie zasadniczych wymaga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 xml:space="preserve">ń 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dla urz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dze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 xml:space="preserve">ń 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u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ywanych na zewn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trz pomieszcze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 xml:space="preserve">ń 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 xml:space="preserve">w zakresie emisji hałasu do 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ś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rodowiska (Dz. U. Nr 263 poz. 2202 z pó</w:t>
      </w:r>
      <w:r w:rsidR="00971681" w:rsidRPr="0030502C">
        <w:rPr>
          <w:rFonts w:ascii="Times New Roman" w:eastAsia="TimesNewRoman" w:hAnsi="Times New Roman" w:cs="Times New Roman"/>
          <w:iCs/>
          <w:sz w:val="24"/>
          <w:szCs w:val="24"/>
        </w:rPr>
        <w:t>ź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 xml:space="preserve">niejszymi zmianami z dnia 15 lutego 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2006 r. Dz. U. Nr 32 poz. 223). S</w:t>
      </w:r>
      <w:r w:rsidR="00971681" w:rsidRPr="0030502C">
        <w:rPr>
          <w:rFonts w:ascii="Times New Roman" w:hAnsi="Times New Roman" w:cs="Times New Roman"/>
          <w:iCs/>
          <w:sz w:val="24"/>
          <w:szCs w:val="24"/>
        </w:rPr>
        <w:t>ilniki maszyn i urządzeń budowlanych w czasie przerw w pracy będą wyłączone,</w:t>
      </w:r>
    </w:p>
    <w:p w:rsidR="0030502C" w:rsidRPr="00971681" w:rsidRDefault="00971681" w:rsidP="00971681">
      <w:pPr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 w:rsidRPr="00A8474A">
        <w:rPr>
          <w:iCs/>
        </w:rPr>
        <w:t>zostanie ograniczony czas budowy poszczególnych etapów poprzez odpowiednie</w:t>
      </w:r>
      <w:r>
        <w:rPr>
          <w:iCs/>
        </w:rPr>
        <w:t xml:space="preserve"> zaplanowanie prac budowlanych, </w:t>
      </w:r>
      <w:r w:rsidRPr="00A8474A">
        <w:rPr>
          <w:iCs/>
        </w:rPr>
        <w:t>ograniczenie czasu pracy sprzętu budowlanego wyłącznie do pory dz</w:t>
      </w:r>
      <w:r w:rsidR="0030502C">
        <w:rPr>
          <w:iCs/>
        </w:rPr>
        <w:t xml:space="preserve">iennej, tj. </w:t>
      </w:r>
      <w:r w:rsidR="0030502C">
        <w:rPr>
          <w:iCs/>
        </w:rPr>
        <w:br/>
        <w:t>w godz. 6.00-22.00.</w:t>
      </w:r>
    </w:p>
    <w:p w:rsidR="00417B85" w:rsidRPr="00417B85" w:rsidRDefault="0030502C" w:rsidP="00417B85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Toc6171076"/>
      <w:bookmarkStart w:id="1" w:name="_Toc60154204"/>
      <w:r w:rsidRPr="00417B85">
        <w:rPr>
          <w:rFonts w:ascii="Times New Roman" w:hAnsi="Times New Roman" w:cs="Times New Roman"/>
          <w:sz w:val="24"/>
          <w:szCs w:val="24"/>
        </w:rPr>
        <w:lastRenderedPageBreak/>
        <w:t>▪</w:t>
      </w:r>
      <w:r w:rsidRPr="00417B85">
        <w:rPr>
          <w:rFonts w:ascii="Times New Roman" w:hAnsi="Times New Roman" w:cs="Times New Roman"/>
          <w:sz w:val="24"/>
          <w:szCs w:val="24"/>
        </w:rPr>
        <w:t xml:space="preserve"> </w:t>
      </w:r>
      <w:r w:rsidR="00971681" w:rsidRPr="00417B85">
        <w:rPr>
          <w:rFonts w:ascii="Times New Roman" w:hAnsi="Times New Roman" w:cs="Times New Roman"/>
          <w:bCs/>
          <w:iCs/>
          <w:sz w:val="24"/>
          <w:szCs w:val="24"/>
        </w:rPr>
        <w:t>W zakresie ochrony atmosfery</w:t>
      </w:r>
      <w:bookmarkEnd w:id="0"/>
      <w:bookmarkEnd w:id="1"/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7B85">
        <w:rPr>
          <w:rFonts w:ascii="Times New Roman" w:hAnsi="Times New Roman" w:cs="Times New Roman"/>
          <w:iCs/>
          <w:sz w:val="24"/>
          <w:szCs w:val="24"/>
        </w:rPr>
        <w:t xml:space="preserve">przewiduje się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odpowiedni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organizacj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ę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placu budowy eliminuj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c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niezaplanowane skł</w:t>
      </w:r>
      <w:r w:rsidRPr="00417B85">
        <w:rPr>
          <w:rFonts w:ascii="Times New Roman" w:hAnsi="Times New Roman" w:cs="Times New Roman"/>
          <w:iCs/>
          <w:sz w:val="24"/>
          <w:szCs w:val="24"/>
        </w:rPr>
        <w:t xml:space="preserve">adowanie piasku i kruszyw,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transport materiałów pylistych pojazdami wyposa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onymi w plandeki zabezpieczaj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ce przez rozsypy</w:t>
      </w:r>
      <w:r w:rsidRPr="00417B85">
        <w:rPr>
          <w:rFonts w:ascii="Times New Roman" w:hAnsi="Times New Roman" w:cs="Times New Roman"/>
          <w:iCs/>
          <w:sz w:val="24"/>
          <w:szCs w:val="24"/>
        </w:rPr>
        <w:t xml:space="preserve">waniem, rozwiewaniem, pyleniem.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osłoni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te b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d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przed działaniem wiatru składowiska kruszyw, piasku zawieraj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ą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ce drobne frakcje pyłowe poprzez przykrywanie plandek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w dni suche,</w:t>
      </w:r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zraszanie potencjalnych miejsc wtórnego pylenia za pomoc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odpowiednich spryskiwaczy,</w:t>
      </w:r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gotowa mieszanka mineralno-asfaltowa zostanie dowieziona na plac budowy transportem samochodowym ze stacjonarnych wytwórni mas bitumicznych.</w:t>
      </w:r>
      <w:bookmarkStart w:id="2" w:name="_Toc6171077"/>
      <w:bookmarkStart w:id="3" w:name="_Toc60154205"/>
    </w:p>
    <w:p w:rsidR="00C0594D" w:rsidRPr="00C0594D" w:rsidRDefault="00417B85" w:rsidP="00417B85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417B85">
        <w:rPr>
          <w:rFonts w:ascii="Times New Roman" w:hAnsi="Times New Roman" w:cs="Times New Roman"/>
          <w:sz w:val="24"/>
          <w:szCs w:val="24"/>
        </w:rPr>
        <w:t>▪</w:t>
      </w:r>
      <w:r w:rsidRPr="00417B85">
        <w:rPr>
          <w:rFonts w:ascii="Times New Roman" w:hAnsi="Times New Roman" w:cs="Times New Roman"/>
          <w:sz w:val="24"/>
          <w:szCs w:val="24"/>
        </w:rPr>
        <w:t xml:space="preserve"> </w:t>
      </w:r>
      <w:r w:rsidR="00971681" w:rsidRPr="00417B85">
        <w:rPr>
          <w:rFonts w:ascii="Times New Roman" w:hAnsi="Times New Roman" w:cs="Times New Roman"/>
          <w:bCs/>
          <w:iCs/>
          <w:sz w:val="24"/>
          <w:szCs w:val="24"/>
        </w:rPr>
        <w:t>W zakresie ochrony środowiska gruntowo-wodnego</w:t>
      </w:r>
      <w:bookmarkEnd w:id="2"/>
      <w:bookmarkEnd w:id="3"/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przewiduje się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zakaz prowadzenia napraw sprz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tu na terenie budowy. Naprawy sprz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tu prowadzone b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d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poza terenem inwestycji tj. w specjal</w:t>
      </w:r>
      <w:r w:rsidRPr="00417B85">
        <w:rPr>
          <w:rFonts w:ascii="Times New Roman" w:hAnsi="Times New Roman" w:cs="Times New Roman"/>
          <w:iCs/>
          <w:sz w:val="24"/>
          <w:szCs w:val="24"/>
        </w:rPr>
        <w:t>istycznych stacjach serwisowych. W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yposa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enie placu budowy w szczelny, przeno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ś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 xml:space="preserve">ny zbiornik bezodpływowy na 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ś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 xml:space="preserve">cieki bytowe. 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Ś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cieki wywo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one b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ę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d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ą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samochodem asenizacyjnym do punktu zlewnego.</w:t>
      </w:r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7B85">
        <w:rPr>
          <w:rFonts w:ascii="Times New Roman" w:hAnsi="Times New Roman" w:cs="Times New Roman"/>
          <w:iCs/>
          <w:sz w:val="24"/>
          <w:szCs w:val="24"/>
        </w:rPr>
        <w:t>S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elektywne magazynowanie wytworzonych odpadów innych ni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 xml:space="preserve">ż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niebezpieczne na utwardzonym podło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Pr="00417B85">
        <w:rPr>
          <w:rFonts w:ascii="Times New Roman" w:hAnsi="Times New Roman" w:cs="Times New Roman"/>
          <w:iCs/>
          <w:sz w:val="24"/>
          <w:szCs w:val="24"/>
        </w:rPr>
        <w:t>u, w zamykanych pojemnikach. C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zasowe magazynowanie wytworzonych odpadów niebezpiecznych w szczelnych, szczelnie zamykanych pojemnikach, wykonanych z materiału odpornego na działanie chemiczne magazynowanych odpadów na utwardzonym podło</w:t>
      </w:r>
      <w:r w:rsidR="00971681" w:rsidRPr="00417B85">
        <w:rPr>
          <w:rFonts w:ascii="Times New Roman" w:eastAsia="TimesNewRoman" w:hAnsi="Times New Roman" w:cs="Times New Roman"/>
          <w:iCs/>
          <w:sz w:val="24"/>
          <w:szCs w:val="24"/>
        </w:rPr>
        <w:t>ż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u, w m</w:t>
      </w:r>
      <w:r w:rsidRPr="00417B85">
        <w:rPr>
          <w:rFonts w:ascii="Times New Roman" w:hAnsi="Times New Roman" w:cs="Times New Roman"/>
          <w:iCs/>
          <w:sz w:val="24"/>
          <w:szCs w:val="24"/>
        </w:rPr>
        <w:t>agazynie odpadów niebezpiecznych.</w:t>
      </w:r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W 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 xml:space="preserve"> celu zminimalizowania niebezpieczeństwa zaniec</w:t>
      </w:r>
      <w:r w:rsidRPr="00417B85">
        <w:rPr>
          <w:rFonts w:ascii="Times New Roman" w:hAnsi="Times New Roman" w:cs="Times New Roman"/>
          <w:iCs/>
          <w:sz w:val="24"/>
          <w:szCs w:val="24"/>
        </w:rPr>
        <w:t>zyszczenia środowiska gruntowo-</w:t>
      </w:r>
      <w:r w:rsidR="00971681" w:rsidRPr="00417B85">
        <w:rPr>
          <w:rFonts w:ascii="Times New Roman" w:hAnsi="Times New Roman" w:cs="Times New Roman"/>
          <w:iCs/>
          <w:sz w:val="24"/>
          <w:szCs w:val="24"/>
        </w:rPr>
        <w:t>wodnego substancjami ropopochodnymi na etapie realizacji zaplecze budowy, składy materiałów i paliw oraz parki maszynowe zorganizowane będą na terenie utwardzonym, zabezpieczonym warstwą nieprzepuszczalną  z dala (co najmniej 50m) od cieków wodnych i miejsc podmokłych.</w:t>
      </w:r>
      <w:bookmarkStart w:id="4" w:name="_Toc6171078"/>
      <w:bookmarkStart w:id="5" w:name="_Toc60154206"/>
    </w:p>
    <w:p w:rsidR="00C0594D" w:rsidRDefault="00417B85" w:rsidP="00417B85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17B85">
        <w:rPr>
          <w:rFonts w:ascii="Times New Roman" w:hAnsi="Times New Roman" w:cs="Times New Roman"/>
          <w:sz w:val="24"/>
          <w:szCs w:val="24"/>
        </w:rPr>
        <w:t>▪</w:t>
      </w:r>
      <w:bookmarkEnd w:id="4"/>
      <w:bookmarkEnd w:id="5"/>
      <w:r w:rsidRPr="00417B85">
        <w:rPr>
          <w:rFonts w:ascii="Times New Roman" w:hAnsi="Times New Roman" w:cs="Times New Roman"/>
          <w:sz w:val="24"/>
          <w:szCs w:val="24"/>
        </w:rPr>
        <w:t xml:space="preserve"> </w:t>
      </w:r>
      <w:r w:rsidR="00C0594D">
        <w:rPr>
          <w:rFonts w:ascii="Times New Roman" w:hAnsi="Times New Roman" w:cs="Times New Roman"/>
          <w:iCs/>
          <w:sz w:val="24"/>
          <w:szCs w:val="24"/>
        </w:rPr>
        <w:t xml:space="preserve">Wytwarzane odpady </w:t>
      </w:r>
    </w:p>
    <w:p w:rsidR="00C0594D" w:rsidRDefault="00C0594D" w:rsidP="00C0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0594D">
        <w:rPr>
          <w:rFonts w:ascii="Times New Roman" w:hAnsi="Times New Roman" w:cs="Times New Roman"/>
          <w:sz w:val="24"/>
          <w:szCs w:val="24"/>
        </w:rPr>
        <w:t>etapie budowy (realizacji) przedsięwzięc</w:t>
      </w:r>
      <w:r w:rsidR="005332D4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 xml:space="preserve"> spowoduje powstanie odpadów </w:t>
      </w:r>
      <w:r w:rsidRPr="00C0594D">
        <w:rPr>
          <w:rFonts w:ascii="Times New Roman" w:hAnsi="Times New Roman" w:cs="Times New Roman"/>
          <w:sz w:val="24"/>
          <w:szCs w:val="24"/>
        </w:rPr>
        <w:t>ze względu na wykonywanie szeregu prac budowlanych, w tym rozbiórkowych, jak np. wykonywanie prac ziemnych, usuwanie nawierzchni, przebudowa skrzyżowań, przebudowa uzbrojenia terenu, montaż elementów wyposażenia drogi (np. elementy bezpieczeństwa ruchu). W związku z tym na etapie inwestycji może powstać szereg rodzajów odpadów sklasyfikowanych w rozporządzeniu Ministra Klimatu z dnia 2 stycznia 2020 roku w sprawie katalogu odpadów.</w:t>
      </w:r>
    </w:p>
    <w:p w:rsidR="008A33BB" w:rsidRPr="00C0594D" w:rsidRDefault="008A33BB" w:rsidP="00C0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94D" w:rsidRPr="00C0594D" w:rsidRDefault="00C0594D" w:rsidP="00C0594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2138"/>
        <w:gridCol w:w="2833"/>
        <w:gridCol w:w="3413"/>
      </w:tblGrid>
      <w:tr w:rsidR="00C0594D" w:rsidRPr="00991CF4" w:rsidTr="00E92D9E">
        <w:tc>
          <w:tcPr>
            <w:tcW w:w="1065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lastRenderedPageBreak/>
              <w:t>Kod</w:t>
            </w:r>
          </w:p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odpadu</w:t>
            </w:r>
          </w:p>
        </w:tc>
        <w:tc>
          <w:tcPr>
            <w:tcW w:w="2138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Sposób wytworzenia </w:t>
            </w:r>
            <w:r w:rsidRPr="00991CF4">
              <w:rPr>
                <w:rFonts w:ascii="Times New Roman" w:hAnsi="Times New Roman" w:cs="Times New Roman"/>
              </w:rPr>
              <w:br/>
              <w:t>i ilość odpadu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Sposób magazynowania wraz z zastosowanymi środkami eliminującymi lub ograniczającymi oddziaływanie na środowisko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Sposób zagospodarowania odpadów (np. przekazanie podmiotowi posiadającemu wymagane prawem pozwolenie w zakresie gospodarki odpadami)</w:t>
            </w:r>
          </w:p>
        </w:tc>
      </w:tr>
      <w:tr w:rsidR="00C0594D" w:rsidRPr="00991CF4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0594D" w:rsidRPr="00991CF4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1CF4"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Zmieszane odpady opakowaniowe. Opakowania z papieru i tektury oraz z tworzyw sztucznych (0,2 tony)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Wywozić z terenu rozbiórki bezpo</w:t>
            </w:r>
            <w:r w:rsidR="00173382">
              <w:rPr>
                <w:rFonts w:ascii="Times New Roman" w:hAnsi="Times New Roman" w:cs="Times New Roman"/>
              </w:rPr>
              <w:t>średnio w miejsce przeznaczone +</w:t>
            </w:r>
            <w:r w:rsidRPr="00991CF4">
              <w:rPr>
                <w:rFonts w:ascii="Times New Roman" w:hAnsi="Times New Roman" w:cs="Times New Roman"/>
              </w:rPr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  <w:tr w:rsidR="00C0594D" w:rsidRPr="00991CF4" w:rsidTr="00E92D9E">
        <w:tc>
          <w:tcPr>
            <w:tcW w:w="1065" w:type="dxa"/>
            <w:shd w:val="clear" w:color="auto" w:fill="auto"/>
          </w:tcPr>
          <w:p w:rsidR="00C0594D" w:rsidRPr="00991CF4" w:rsidRDefault="00C0594D" w:rsidP="00E92D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1C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17 05 04 </w:t>
            </w:r>
          </w:p>
        </w:tc>
        <w:tc>
          <w:tcPr>
            <w:tcW w:w="2138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  <w:bCs/>
              </w:rPr>
              <w:t xml:space="preserve">Gleba i ziemia, </w:t>
            </w:r>
            <w:r w:rsidRPr="00991CF4">
              <w:rPr>
                <w:rFonts w:ascii="Times New Roman" w:hAnsi="Times New Roman" w:cs="Times New Roman"/>
                <w:bCs/>
              </w:rPr>
              <w:br/>
              <w:t xml:space="preserve">w tym kamienie, inne niż wymienione w 17 05 03 : 4 600 ton (urobek kopany pochodzący </w:t>
            </w:r>
            <w:r w:rsidRPr="00991CF4">
              <w:rPr>
                <w:rFonts w:ascii="Times New Roman" w:hAnsi="Times New Roman" w:cs="Times New Roman"/>
                <w:bCs/>
              </w:rPr>
              <w:br/>
              <w:t>z korytowania)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Wywozić z terenu rozbiórki bezpośrednio w miejsce przeznaczone </w:t>
            </w:r>
            <w:r w:rsidRPr="00991CF4">
              <w:rPr>
                <w:rFonts w:ascii="Times New Roman" w:hAnsi="Times New Roman" w:cs="Times New Roman"/>
              </w:rPr>
              <w:br/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  <w:tr w:rsidR="00C0594D" w:rsidRPr="00991CF4" w:rsidTr="00E92D9E">
        <w:tc>
          <w:tcPr>
            <w:tcW w:w="1065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1CF4">
              <w:rPr>
                <w:rFonts w:ascii="Times New Roman" w:hAnsi="Times New Roman" w:cs="Times New Roman"/>
                <w:bCs/>
              </w:rPr>
              <w:t>20 03 01</w:t>
            </w:r>
          </w:p>
        </w:tc>
        <w:tc>
          <w:tcPr>
            <w:tcW w:w="2138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91CF4">
              <w:rPr>
                <w:rFonts w:ascii="Times New Roman" w:eastAsia="TimesNewRoman" w:hAnsi="Times New Roman" w:cs="Times New Roman"/>
              </w:rPr>
              <w:t>Niesegregowane (zmieszane) odpady komunalne</w:t>
            </w:r>
          </w:p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91CF4">
              <w:rPr>
                <w:rFonts w:ascii="Times New Roman" w:eastAsia="TimesNewRoman" w:hAnsi="Times New Roman" w:cs="Times New Roman"/>
              </w:rPr>
              <w:t>(0,5 tony)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AD5A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Wytwarzane odpady komunalne zmieszane, niesegregowane, stałe o kodzie 20 03 01 magazynowane będą w zamykanym pojemniku i odbierane zgodnie z ustawą o utrzymaniu czystości i porządku w gminach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 komunalnymi</w:t>
            </w:r>
          </w:p>
        </w:tc>
      </w:tr>
    </w:tbl>
    <w:p w:rsidR="008A33BB" w:rsidRDefault="008A33BB" w:rsidP="008A33BB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8A33BB" w:rsidRPr="00C0594D" w:rsidRDefault="008A33BB" w:rsidP="008A33BB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odpady </w:t>
      </w:r>
      <w:r w:rsidRPr="00417B85">
        <w:rPr>
          <w:rFonts w:ascii="Times New Roman" w:hAnsi="Times New Roman" w:cs="Times New Roman"/>
          <w:iCs/>
          <w:sz w:val="24"/>
          <w:szCs w:val="24"/>
        </w:rPr>
        <w:t>magazynowane selektywnie, w zależności od rodzaju odpadów, w wydzielonych i przystosowanych miejscach, w warunkach odpowiednio zabezp</w:t>
      </w:r>
      <w:r>
        <w:rPr>
          <w:rFonts w:ascii="Times New Roman" w:hAnsi="Times New Roman" w:cs="Times New Roman"/>
          <w:iCs/>
          <w:sz w:val="24"/>
          <w:szCs w:val="24"/>
        </w:rPr>
        <w:t xml:space="preserve">ieczających przed przedostaniem się </w:t>
      </w:r>
      <w:r w:rsidRPr="00417B85">
        <w:rPr>
          <w:rFonts w:ascii="Times New Roman" w:hAnsi="Times New Roman" w:cs="Times New Roman"/>
          <w:iCs/>
          <w:sz w:val="24"/>
          <w:szCs w:val="24"/>
        </w:rPr>
        <w:t>do śro</w:t>
      </w:r>
      <w:r>
        <w:rPr>
          <w:rFonts w:ascii="Times New Roman" w:hAnsi="Times New Roman" w:cs="Times New Roman"/>
          <w:iCs/>
          <w:sz w:val="24"/>
          <w:szCs w:val="24"/>
        </w:rPr>
        <w:t xml:space="preserve">dowiska substancji szkodliwych </w:t>
      </w:r>
      <w:r w:rsidRPr="00417B85">
        <w:rPr>
          <w:rFonts w:ascii="Times New Roman" w:hAnsi="Times New Roman" w:cs="Times New Roman"/>
          <w:iCs/>
          <w:sz w:val="24"/>
          <w:szCs w:val="24"/>
        </w:rPr>
        <w:t>i w warunkach odpowiednio zabezpieczających przed dostępem osób postronnych.</w:t>
      </w:r>
      <w:r w:rsidRPr="00417B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7B85">
        <w:rPr>
          <w:rFonts w:ascii="Times New Roman" w:hAnsi="Times New Roman" w:cs="Times New Roman"/>
          <w:iCs/>
          <w:sz w:val="24"/>
          <w:szCs w:val="24"/>
        </w:rPr>
        <w:t xml:space="preserve">Odpady w pierwszym rzędzie należy poddawać odzyskowi, a jeżeli jest to technologicznie lub ekonomicznie nieuzasadnione, przekazać do odzysku lub </w:t>
      </w:r>
      <w:r w:rsidRPr="00417B85">
        <w:rPr>
          <w:rFonts w:ascii="Times New Roman" w:hAnsi="Times New Roman" w:cs="Times New Roman"/>
          <w:iCs/>
          <w:sz w:val="24"/>
          <w:szCs w:val="24"/>
        </w:rPr>
        <w:lastRenderedPageBreak/>
        <w:t>unieszkodliwienia podmiotom, posiadającym stosowne uzgodnienia w zakresie gospodarki odpadami zgodnie z ustawą o odpadach. Wierzchnie warstwy ziemi (humus) mogą zostać wykorzystane do niwelacji terenu i do ponownego zagospodarowania.</w:t>
      </w:r>
    </w:p>
    <w:p w:rsidR="008A33BB" w:rsidRPr="008A33BB" w:rsidRDefault="008A33BB" w:rsidP="008A33B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B85">
        <w:rPr>
          <w:rFonts w:ascii="Times New Roman" w:hAnsi="Times New Roman" w:cs="Times New Roman"/>
          <w:iCs/>
          <w:sz w:val="24"/>
          <w:szCs w:val="24"/>
        </w:rPr>
        <w:t xml:space="preserve">Wykonawca robót przed przystąpieniem do działalności winien uzgodnić z właściwym organem ochrony środowiska sposób postępowania z </w:t>
      </w:r>
      <w:r>
        <w:rPr>
          <w:rFonts w:ascii="Times New Roman" w:hAnsi="Times New Roman" w:cs="Times New Roman"/>
          <w:iCs/>
          <w:sz w:val="24"/>
          <w:szCs w:val="24"/>
        </w:rPr>
        <w:t xml:space="preserve">wytwarzanymi odpadami poprzez: </w:t>
      </w:r>
      <w:r w:rsidRPr="00417B85">
        <w:rPr>
          <w:rFonts w:ascii="Times New Roman" w:hAnsi="Times New Roman" w:cs="Times New Roman"/>
          <w:iCs/>
          <w:sz w:val="24"/>
          <w:szCs w:val="24"/>
        </w:rPr>
        <w:t>zatwierdzenie programu gospodarki odpadami niebezpiecznymi, jeżeli wytwarzają odpady niebezpieczne w ilości powyżej 0,1 Mg rocznie, na dwa miesiące przed rozpoczęciem działalności powodującej powst</w:t>
      </w:r>
      <w:r>
        <w:rPr>
          <w:rFonts w:ascii="Times New Roman" w:hAnsi="Times New Roman" w:cs="Times New Roman"/>
          <w:iCs/>
          <w:sz w:val="24"/>
          <w:szCs w:val="24"/>
        </w:rPr>
        <w:t xml:space="preserve">awanie odpadów niebezpiecznych; </w:t>
      </w:r>
      <w:r w:rsidRPr="00417B85">
        <w:rPr>
          <w:rFonts w:ascii="Times New Roman" w:hAnsi="Times New Roman" w:cs="Times New Roman"/>
          <w:iCs/>
          <w:sz w:val="24"/>
          <w:szCs w:val="24"/>
        </w:rPr>
        <w:t>przedłożenie informacji o wytwarzanych odpadach oraz o sposobach gospodarowania wytworzonymi odpadami, jeżeli wytwarzają odpady niebezpieczne w ilości do 0,1 Mg rocznie albo powyżej 5 Mg rocznie odpadów innych niż niebezpieczne na 30 dni przed rozpoczęciem działalności powodującej powstawanie odpadów niebez</w:t>
      </w:r>
      <w:r>
        <w:rPr>
          <w:rFonts w:ascii="Times New Roman" w:hAnsi="Times New Roman" w:cs="Times New Roman"/>
          <w:iCs/>
          <w:sz w:val="24"/>
          <w:szCs w:val="24"/>
        </w:rPr>
        <w:t xml:space="preserve">piecznych;  </w:t>
      </w:r>
      <w:r w:rsidRPr="00417B85">
        <w:rPr>
          <w:rFonts w:ascii="Times New Roman" w:hAnsi="Times New Roman" w:cs="Times New Roman"/>
          <w:iCs/>
          <w:sz w:val="24"/>
          <w:szCs w:val="24"/>
        </w:rPr>
        <w:t>uzyskanie zezwolenia na prowadzenie działalności w zakresie odzysku odpadów, na dwa miesiące pr</w:t>
      </w:r>
      <w:r>
        <w:rPr>
          <w:rFonts w:ascii="Times New Roman" w:hAnsi="Times New Roman" w:cs="Times New Roman"/>
          <w:iCs/>
          <w:sz w:val="24"/>
          <w:szCs w:val="24"/>
        </w:rPr>
        <w:t xml:space="preserve">zed rozpoczęciem działalności.  </w:t>
      </w:r>
      <w:r w:rsidRPr="00417B85">
        <w:rPr>
          <w:rFonts w:ascii="Times New Roman" w:hAnsi="Times New Roman" w:cs="Times New Roman"/>
          <w:iCs/>
          <w:sz w:val="24"/>
          <w:szCs w:val="24"/>
        </w:rPr>
        <w:t xml:space="preserve">Budowa drogi zostanie powierzona firmie budowlanej, która będzie w tym przypadku wytwórcą odpadów i będzie zobowiązana uzyskać stosowne zezwolenia </w:t>
      </w:r>
      <w:r w:rsidRPr="00417B85">
        <w:rPr>
          <w:rFonts w:ascii="Times New Roman" w:hAnsi="Times New Roman" w:cs="Times New Roman"/>
          <w:iCs/>
          <w:sz w:val="24"/>
          <w:szCs w:val="24"/>
        </w:rPr>
        <w:br/>
        <w:t xml:space="preserve">w zakresie gospodarki odpadami. </w:t>
      </w:r>
    </w:p>
    <w:p w:rsidR="008A33BB" w:rsidRDefault="008A33BB" w:rsidP="008A33BB">
      <w:pPr>
        <w:spacing w:line="360" w:lineRule="auto"/>
        <w:jc w:val="both"/>
      </w:pPr>
      <w:r w:rsidRPr="00417B85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BB">
        <w:t>Na etapie eksploatacji (funkcjonowania)</w:t>
      </w:r>
      <w:r>
        <w:t xml:space="preserve"> przedsięwzięcia będą powstawać ograniczone rodzaje i ilości odpadów. Będą one związane z :</w:t>
      </w:r>
      <w:r>
        <w:t xml:space="preserve"> </w:t>
      </w:r>
      <w:r>
        <w:t>pracami serwisowymi i remontowymi infrastruktury towarzyszącej (wymiana uszkodzonych elementów bezpieczeństwa ruchu),</w:t>
      </w:r>
      <w:r>
        <w:t xml:space="preserve"> </w:t>
      </w:r>
      <w:r>
        <w:t xml:space="preserve">pracami porządkowymi (czyszczenie nawierzchni, pielęgnacja terenów, usuwanie powstałych w ten </w:t>
      </w:r>
      <w:r>
        <w:t xml:space="preserve">  </w:t>
      </w:r>
      <w:r>
        <w:t>sposób odpadów biologicznie czynnych, oczyszczanie pasa drogowego z odpadów pozostawionych przez użytkowników drogi),</w:t>
      </w:r>
      <w:r>
        <w:t xml:space="preserve"> remontami nawierzchni, </w:t>
      </w:r>
      <w:r>
        <w:t>czyszczeniem urządzeń podczyszczających wody opadowe.</w:t>
      </w:r>
    </w:p>
    <w:p w:rsidR="005332D4" w:rsidRPr="00C0594D" w:rsidRDefault="005332D4" w:rsidP="0099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2138"/>
        <w:gridCol w:w="2833"/>
        <w:gridCol w:w="3413"/>
      </w:tblGrid>
      <w:tr w:rsidR="00C0594D" w:rsidRPr="00C0594D" w:rsidTr="00E92D9E">
        <w:tc>
          <w:tcPr>
            <w:tcW w:w="1065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Kod</w:t>
            </w:r>
          </w:p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odpadu</w:t>
            </w:r>
          </w:p>
        </w:tc>
        <w:tc>
          <w:tcPr>
            <w:tcW w:w="2138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Sposób wytworzenia </w:t>
            </w:r>
            <w:r w:rsidRPr="00991CF4">
              <w:rPr>
                <w:rFonts w:ascii="Times New Roman" w:hAnsi="Times New Roman" w:cs="Times New Roman"/>
              </w:rPr>
              <w:br/>
              <w:t>i ilość odpadu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Sposób magazynowania wraz z zastosowanymi środkami eliminującymi lub ograniczającymi oddziaływanie na środowisko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Sposób zagospodarowania odpadów (np. przekazanie podmiotowi posiadającemu wymagane prawem pozwolenie w zakresie gospodarki odpadami)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CF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91CF4">
              <w:rPr>
                <w:rFonts w:ascii="Times New Roman" w:hAnsi="Times New Roman" w:cs="Times New Roman"/>
              </w:rPr>
              <w:t>17 01 81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Odpady z remontów i przebudowy dróg </w:t>
            </w:r>
            <w:r w:rsidRPr="00991CF4">
              <w:rPr>
                <w:rFonts w:ascii="Times New Roman" w:hAnsi="Times New Roman" w:cs="Times New Roman"/>
              </w:rPr>
              <w:br/>
              <w:t>(5 ton)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Wywozić z terenu rozbiórki bezpośrednio w miejsce przeznaczone </w:t>
            </w:r>
            <w:r w:rsidRPr="00991CF4">
              <w:rPr>
                <w:rFonts w:ascii="Times New Roman" w:hAnsi="Times New Roman" w:cs="Times New Roman"/>
              </w:rPr>
              <w:br/>
            </w:r>
            <w:r w:rsidRPr="00991CF4">
              <w:rPr>
                <w:rFonts w:ascii="Times New Roman" w:hAnsi="Times New Roman" w:cs="Times New Roman"/>
              </w:rPr>
              <w:lastRenderedPageBreak/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lastRenderedPageBreak/>
              <w:t xml:space="preserve">przekazać podmiotowi posiadającemu wymagane prawem </w:t>
            </w:r>
            <w:r w:rsidRPr="00991CF4">
              <w:rPr>
                <w:rFonts w:ascii="Times New Roman" w:hAnsi="Times New Roman" w:cs="Times New Roman"/>
              </w:rPr>
              <w:lastRenderedPageBreak/>
              <w:t>pozwolenie w zakresie gospodarki odpadami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1CF4">
              <w:rPr>
                <w:rFonts w:ascii="Times New Roman" w:hAnsi="Times New Roman" w:cs="Times New Roman"/>
              </w:rPr>
              <w:lastRenderedPageBreak/>
              <w:t>17 02 03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Tworzywa sztuczne (0,2 tony)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Wywozić z terenu rozbiórki bezpo</w:t>
            </w:r>
            <w:r w:rsidR="00173382">
              <w:rPr>
                <w:rFonts w:ascii="Times New Roman" w:hAnsi="Times New Roman" w:cs="Times New Roman"/>
              </w:rPr>
              <w:t xml:space="preserve">średnio w miejsce przeznaczone </w:t>
            </w:r>
            <w:r w:rsidRPr="00991CF4">
              <w:rPr>
                <w:rFonts w:ascii="Times New Roman" w:hAnsi="Times New Roman" w:cs="Times New Roman"/>
              </w:rPr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Mieszanki bitumiczne inne niż wymienione w 17 03 01 (10 ton)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Wywozić z terenu rozbiórki bezpo</w:t>
            </w:r>
            <w:r w:rsidR="00173382">
              <w:rPr>
                <w:rFonts w:ascii="Times New Roman" w:hAnsi="Times New Roman" w:cs="Times New Roman"/>
              </w:rPr>
              <w:t xml:space="preserve">średnio w miejsce przeznaczone </w:t>
            </w:r>
            <w:r w:rsidRPr="00991CF4">
              <w:rPr>
                <w:rFonts w:ascii="Times New Roman" w:hAnsi="Times New Roman" w:cs="Times New Roman"/>
              </w:rPr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20 02 01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Odpady ulegające biodegradacji </w:t>
            </w:r>
          </w:p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(1 tona)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Wywozić z terenu rozbiórki bezpo</w:t>
            </w:r>
            <w:r w:rsidR="00173382">
              <w:rPr>
                <w:rFonts w:ascii="Times New Roman" w:hAnsi="Times New Roman" w:cs="Times New Roman"/>
              </w:rPr>
              <w:t xml:space="preserve">średnio w miejsce przeznaczone </w:t>
            </w:r>
            <w:r w:rsidRPr="00991CF4">
              <w:rPr>
                <w:rFonts w:ascii="Times New Roman" w:hAnsi="Times New Roman" w:cs="Times New Roman"/>
              </w:rPr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  <w:tr w:rsidR="00C0594D" w:rsidRPr="00C0594D" w:rsidTr="00E92D9E">
        <w:tc>
          <w:tcPr>
            <w:tcW w:w="1065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 xml:space="preserve">20 03 03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Odpady z czyszczenia ulic i placów</w:t>
            </w:r>
          </w:p>
          <w:p w:rsidR="00C0594D" w:rsidRPr="00991CF4" w:rsidRDefault="00C0594D" w:rsidP="00E92D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(1 tona)</w:t>
            </w:r>
          </w:p>
        </w:tc>
        <w:tc>
          <w:tcPr>
            <w:tcW w:w="283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Wywozić z terenu rozbiórki bezpo</w:t>
            </w:r>
            <w:r w:rsidR="00173382">
              <w:rPr>
                <w:rFonts w:ascii="Times New Roman" w:hAnsi="Times New Roman" w:cs="Times New Roman"/>
              </w:rPr>
              <w:t xml:space="preserve">średnio w miejsce przeznaczone </w:t>
            </w:r>
            <w:r w:rsidRPr="00991CF4">
              <w:rPr>
                <w:rFonts w:ascii="Times New Roman" w:hAnsi="Times New Roman" w:cs="Times New Roman"/>
              </w:rPr>
              <w:t>do magazynowania odpadów.</w:t>
            </w:r>
          </w:p>
        </w:tc>
        <w:tc>
          <w:tcPr>
            <w:tcW w:w="3413" w:type="dxa"/>
            <w:shd w:val="clear" w:color="auto" w:fill="auto"/>
          </w:tcPr>
          <w:p w:rsidR="00C0594D" w:rsidRPr="00991CF4" w:rsidRDefault="00C0594D" w:rsidP="001733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1CF4">
              <w:rPr>
                <w:rFonts w:ascii="Times New Roman" w:hAnsi="Times New Roman" w:cs="Times New Roman"/>
              </w:rPr>
              <w:t>przekazać podmiotowi posiadającemu wymagane prawem pozwolenie w zakresie gospodarki odpadami</w:t>
            </w:r>
          </w:p>
        </w:tc>
      </w:tr>
    </w:tbl>
    <w:p w:rsidR="008A33BB" w:rsidRDefault="008A33BB" w:rsidP="008A33B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33BB" w:rsidRPr="008A33BB" w:rsidRDefault="008A33BB" w:rsidP="00417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5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594D">
        <w:rPr>
          <w:rFonts w:ascii="Times New Roman" w:hAnsi="Times New Roman" w:cs="Times New Roman"/>
          <w:sz w:val="24"/>
          <w:szCs w:val="24"/>
        </w:rPr>
        <w:t>Na etapie eksploatacji (funkcjonowania) przedsięwzięcia będą powstawać ograniczone rodzaje i ilości</w:t>
      </w:r>
      <w:r>
        <w:rPr>
          <w:rFonts w:ascii="Times New Roman" w:hAnsi="Times New Roman" w:cs="Times New Roman"/>
          <w:sz w:val="24"/>
          <w:szCs w:val="24"/>
        </w:rPr>
        <w:t xml:space="preserve"> odpadów. Będą one związane z </w:t>
      </w:r>
      <w:r w:rsidRPr="00C0594D">
        <w:rPr>
          <w:rFonts w:ascii="Times New Roman" w:hAnsi="Times New Roman" w:cs="Times New Roman"/>
          <w:sz w:val="24"/>
          <w:szCs w:val="24"/>
        </w:rPr>
        <w:t>pracami serwisowymi i remontowymi infrastruktury towarzyszącej (wymiana uszkodzonych elementów bezpiecze</w:t>
      </w:r>
      <w:r>
        <w:rPr>
          <w:rFonts w:ascii="Times New Roman" w:hAnsi="Times New Roman" w:cs="Times New Roman"/>
          <w:sz w:val="24"/>
          <w:szCs w:val="24"/>
        </w:rPr>
        <w:t xml:space="preserve">ństwa ruchu), </w:t>
      </w:r>
      <w:r w:rsidRPr="00C0594D">
        <w:rPr>
          <w:rFonts w:ascii="Times New Roman" w:hAnsi="Times New Roman" w:cs="Times New Roman"/>
          <w:sz w:val="24"/>
          <w:szCs w:val="24"/>
        </w:rPr>
        <w:t>pracami porządkowymi (czyszczenie nawierzchni, pielęgnacja terenów, usuwanie powstałych w ten sposób odpadów biologicznie czynnych, oczyszczanie pasa drogowego z odpadów pozostawio</w:t>
      </w:r>
      <w:r>
        <w:rPr>
          <w:rFonts w:ascii="Times New Roman" w:hAnsi="Times New Roman" w:cs="Times New Roman"/>
          <w:sz w:val="24"/>
          <w:szCs w:val="24"/>
        </w:rPr>
        <w:t xml:space="preserve">nych przez użytkowników drogi), remontami nawierzchni, </w:t>
      </w:r>
      <w:r w:rsidRPr="00C0594D">
        <w:rPr>
          <w:rFonts w:ascii="Times New Roman" w:hAnsi="Times New Roman" w:cs="Times New Roman"/>
          <w:sz w:val="24"/>
          <w:szCs w:val="24"/>
        </w:rPr>
        <w:t>czyszczeniem urządzeń podczyszczających wody opadowe.</w:t>
      </w:r>
      <w:bookmarkStart w:id="6" w:name="_GoBack"/>
      <w:bookmarkEnd w:id="6"/>
    </w:p>
    <w:p w:rsidR="00417B85" w:rsidRPr="00C0594D" w:rsidRDefault="004D689B" w:rsidP="00C0594D">
      <w:pPr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 w:rsidR="00C0594D">
        <w:rPr>
          <w:rFonts w:ascii="Times New Roman" w:hAnsi="Times New Roman" w:cs="Times New Roman"/>
          <w:sz w:val="24"/>
          <w:szCs w:val="24"/>
        </w:rPr>
        <w:t xml:space="preserve"> </w:t>
      </w:r>
      <w:r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jest realizowana poza  obszarami ochrony stanowisk archeologicznych.</w:t>
      </w:r>
      <w:r w:rsidRPr="009C0479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                </w:t>
      </w:r>
      <w:r w:rsidR="00C0594D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Pr="009C0479">
        <w:rPr>
          <w:rFonts w:ascii="Times New Roman" w:hAnsi="Times New Roman" w:cs="Times New Roman"/>
          <w:sz w:val="24"/>
          <w:szCs w:val="24"/>
        </w:rPr>
        <w:t xml:space="preserve">▪ Inwestycja nie ma wpływu  na gęstość zaludnienia. Gęstość zaludnienia </w:t>
      </w:r>
      <w:r w:rsidR="00417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Góra </w:t>
      </w:r>
      <w:proofErr w:type="spellStart"/>
      <w:r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>św.Małgorzaty</w:t>
      </w:r>
      <w:proofErr w:type="spellEnd"/>
      <w:r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 osób / km </w:t>
      </w:r>
      <w:r w:rsidRPr="009C0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dane na 2017 rok).                                                              </w:t>
      </w:r>
      <w:r w:rsidR="00417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4D689B" w:rsidRPr="00D8658B" w:rsidRDefault="00C0594D" w:rsidP="00D865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479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89B" w:rsidRPr="009C0479">
        <w:rPr>
          <w:rFonts w:ascii="Times New Roman" w:hAnsi="Times New Roman" w:cs="Times New Roman"/>
          <w:sz w:val="24"/>
          <w:szCs w:val="24"/>
        </w:rPr>
        <w:t xml:space="preserve">W zasięgu oddziaływania planowanego przedsięwzięcia brak </w:t>
      </w:r>
      <w:r w:rsidR="004D689B"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uzdrowisk  i Obszarów Ochrony    Uzdrowiskowej;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D86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0479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="004D689B" w:rsidRPr="009C0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Przedsięwzięcie  jest realizowane poza  obszarami, na których standardy</w:t>
      </w:r>
      <w:r w:rsidR="00D865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jakościowe środowiska </w:t>
      </w:r>
      <w:r w:rsidR="00D865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zostały przekroczone.</w:t>
      </w:r>
      <w:r w:rsidR="004D689B"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D86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D8658B" w:rsidRPr="009C0479">
        <w:rPr>
          <w:rFonts w:ascii="Times New Roman" w:hAnsi="Times New Roman" w:cs="Times New Roman"/>
          <w:sz w:val="24"/>
          <w:szCs w:val="24"/>
        </w:rPr>
        <w:t>▪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="00D8658B">
        <w:rPr>
          <w:rFonts w:ascii="Times New Roman" w:hAnsi="Times New Roman" w:cs="Times New Roman"/>
          <w:sz w:val="24"/>
          <w:szCs w:val="24"/>
        </w:rPr>
        <w:t xml:space="preserve"> </w:t>
      </w:r>
      <w:r w:rsidR="004D689B"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zasięgu oddziaływania planowanego przedsięwzięcia brak obszarów przylegających do  </w:t>
      </w:r>
      <w:r w:rsidR="00D86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89B" w:rsidRPr="009C0479">
        <w:rPr>
          <w:rFonts w:ascii="Times New Roman" w:eastAsia="Times New Roman" w:hAnsi="Times New Roman" w:cs="Times New Roman"/>
          <w:sz w:val="24"/>
          <w:szCs w:val="24"/>
          <w:lang w:eastAsia="pl-PL"/>
        </w:rPr>
        <w:t>jezior;</w:t>
      </w:r>
      <w:r w:rsidR="00D86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Na podstaw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i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e i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n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formacji 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z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awartych 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 xml:space="preserve">w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karcie informacyjnej można stwierdzić b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ra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k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br/>
        <w:t>możliwości wystąpieni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 xml:space="preserve">a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oddziaływania o 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z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nacznej wielkości lub złożoności. Przedmiotowe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br/>
        <w:t>pr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z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edsięwzięcie zarów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n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o w fazie eksploatacji jak </w:t>
      </w:r>
      <w:r w:rsidR="004D689B" w:rsidRPr="009C0479">
        <w:rPr>
          <w:rFonts w:ascii="Times New Roman" w:eastAsiaTheme="minorEastAsia" w:hAnsi="Times New Roman" w:cs="Times New Roman"/>
          <w:color w:val="030204"/>
          <w:w w:val="123"/>
          <w:sz w:val="24"/>
          <w:szCs w:val="24"/>
          <w:lang w:eastAsia="pl-PL"/>
        </w:rPr>
        <w:t xml:space="preserve">i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w fazie realizacj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 xml:space="preserve">i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przy 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z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>acho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w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aniu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br/>
        <w:t>odpowiednich rozw</w:t>
      </w:r>
      <w:r w:rsidR="004D689B" w:rsidRPr="009C0479">
        <w:rPr>
          <w:rFonts w:ascii="Times New Roman" w:eastAsiaTheme="minorEastAsia" w:hAnsi="Times New Roman" w:cs="Times New Roman"/>
          <w:color w:val="1D1D1F"/>
          <w:sz w:val="24"/>
          <w:szCs w:val="24"/>
          <w:lang w:eastAsia="pl-PL"/>
        </w:rPr>
        <w:t>i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t xml:space="preserve">ązań chroniących środowisko nie powinno znacząco oddziaływać </w:t>
      </w:r>
      <w:r w:rsidR="004D689B" w:rsidRPr="009C0479">
        <w:rPr>
          <w:rFonts w:ascii="Times New Roman" w:eastAsiaTheme="minorEastAsia" w:hAnsi="Times New Roman" w:cs="Times New Roman"/>
          <w:color w:val="030204"/>
          <w:sz w:val="24"/>
          <w:szCs w:val="24"/>
          <w:lang w:eastAsia="pl-PL"/>
        </w:rPr>
        <w:br/>
        <w:t xml:space="preserve">na środowisko. </w:t>
      </w:r>
    </w:p>
    <w:p w:rsidR="004D689B" w:rsidRPr="009C0479" w:rsidRDefault="004D689B" w:rsidP="004D689B">
      <w:pPr>
        <w:spacing w:before="240" w:after="240" w:line="360" w:lineRule="auto"/>
        <w:ind w:left="454" w:right="454"/>
        <w:rPr>
          <w:rFonts w:ascii="Times New Roman" w:hAnsi="Times New Roman" w:cs="Times New Roman"/>
          <w:sz w:val="24"/>
          <w:szCs w:val="24"/>
        </w:rPr>
      </w:pPr>
    </w:p>
    <w:p w:rsidR="00053F2B" w:rsidRPr="009C0479" w:rsidRDefault="00053F2B">
      <w:pPr>
        <w:rPr>
          <w:rFonts w:ascii="Times New Roman" w:hAnsi="Times New Roman" w:cs="Times New Roman"/>
          <w:sz w:val="24"/>
          <w:szCs w:val="24"/>
        </w:rPr>
      </w:pPr>
    </w:p>
    <w:sectPr w:rsidR="00053F2B" w:rsidRPr="009C0479" w:rsidSect="00F40EDD">
      <w:footerReference w:type="default" r:id="rId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13222"/>
      <w:docPartObj>
        <w:docPartGallery w:val="Page Numbers (Bottom of Page)"/>
        <w:docPartUnique/>
      </w:docPartObj>
    </w:sdtPr>
    <w:sdtEndPr/>
    <w:sdtContent>
      <w:p w:rsidR="009639DC" w:rsidRDefault="008A33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639DC" w:rsidRDefault="008A33B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3BC"/>
    <w:multiLevelType w:val="hybridMultilevel"/>
    <w:tmpl w:val="82A6A25E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7143"/>
    <w:multiLevelType w:val="hybridMultilevel"/>
    <w:tmpl w:val="D8CEE07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E4137B2"/>
    <w:multiLevelType w:val="hybridMultilevel"/>
    <w:tmpl w:val="B2E443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EF7"/>
    <w:multiLevelType w:val="hybridMultilevel"/>
    <w:tmpl w:val="8BA4AF2A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56A0C"/>
    <w:multiLevelType w:val="hybridMultilevel"/>
    <w:tmpl w:val="206AC5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503"/>
    <w:multiLevelType w:val="hybridMultilevel"/>
    <w:tmpl w:val="554E261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9E638C"/>
    <w:multiLevelType w:val="hybridMultilevel"/>
    <w:tmpl w:val="559A8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E0120"/>
    <w:multiLevelType w:val="hybridMultilevel"/>
    <w:tmpl w:val="2CCC1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A13839"/>
    <w:multiLevelType w:val="hybridMultilevel"/>
    <w:tmpl w:val="56464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74E7"/>
    <w:multiLevelType w:val="hybridMultilevel"/>
    <w:tmpl w:val="1ED65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73EF1"/>
    <w:multiLevelType w:val="hybridMultilevel"/>
    <w:tmpl w:val="B8B216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B"/>
    <w:rsid w:val="00053F2B"/>
    <w:rsid w:val="001579EF"/>
    <w:rsid w:val="00173382"/>
    <w:rsid w:val="0030502C"/>
    <w:rsid w:val="00340BD1"/>
    <w:rsid w:val="00417B85"/>
    <w:rsid w:val="004D689B"/>
    <w:rsid w:val="005332D4"/>
    <w:rsid w:val="008A33BB"/>
    <w:rsid w:val="00971681"/>
    <w:rsid w:val="00991CF4"/>
    <w:rsid w:val="009C0479"/>
    <w:rsid w:val="00AD5A51"/>
    <w:rsid w:val="00C0594D"/>
    <w:rsid w:val="00D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6189-A962-4C3F-96A8-0F0FD77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89B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qFormat/>
    <w:rsid w:val="001579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">
    <w:name w:val="tc"/>
    <w:basedOn w:val="Normalny"/>
    <w:rsid w:val="004D689B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6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9B"/>
  </w:style>
  <w:style w:type="character" w:customStyle="1" w:styleId="Nagwek2Znak">
    <w:name w:val="Nagłówek 2 Znak"/>
    <w:basedOn w:val="Domylnaczcionkaakapitu"/>
    <w:link w:val="Nagwek2"/>
    <w:rsid w:val="001579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1579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2268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2024-04-17T10:17:00Z</dcterms:created>
  <dcterms:modified xsi:type="dcterms:W3CDTF">2024-04-17T13:20:00Z</dcterms:modified>
</cp:coreProperties>
</file>